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86FE" w14:textId="77777777"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2802AE98"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09F0BB7D"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73555BB6"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2CAC42E3"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678EDC59" w14:textId="77777777"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6EA83306" w14:textId="77777777"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14:paraId="45BA4E36" w14:textId="77777777"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14:paraId="17575027" w14:textId="77777777"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14:paraId="0BAA962D" w14:textId="77777777"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14:paraId="2A50040E" w14:textId="77777777" w:rsidR="00D1615F" w:rsidRPr="00D1615F" w:rsidRDefault="00D1615F" w:rsidP="00625579">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14:paraId="5AB86068"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E574F05" w14:textId="77777777"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14:paraId="267F5978" w14:textId="77777777"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proofErr w:type="spellStart"/>
      <w:r>
        <w:t>nn</w:t>
      </w:r>
      <w:proofErr w:type="spellEnd"/>
      <w:r>
        <w:t>.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14:paraId="7E9824BC" w14:textId="77777777"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14:paraId="2DC63FD4" w14:textId="77777777"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14:paraId="298B617D" w14:textId="77777777" w:rsidR="00D1615F" w:rsidRPr="00C8731D" w:rsidRDefault="00D1615F" w:rsidP="00625579">
      <w:pPr>
        <w:pStyle w:val="provvc"/>
        <w:spacing w:afterLines="20" w:after="48"/>
      </w:pPr>
      <w:r w:rsidRPr="00C8731D">
        <w:t>Decreta:</w:t>
      </w:r>
    </w:p>
    <w:p w14:paraId="6327B819" w14:textId="77777777"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5CE800F" w14:textId="77777777"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5E138548"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14:paraId="2DED0016"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829192A"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BB763E8"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25809AA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51BA4E5D" w14:textId="77777777"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14:paraId="735D211F"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6CC8C3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002BC777" w14:textId="77777777"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14:paraId="2A8FDD8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6C32277C" w14:textId="77777777"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5B21A50D" w14:textId="77777777"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34C5B7DE" w14:textId="77777777"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202B98D1"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0" w:name="4up"/>
      <w:r w:rsidR="0046230A">
        <w:rPr>
          <w:rFonts w:ascii="Times New Roman" w:eastAsia="Times New Roman" w:hAnsi="Times New Roman" w:cs="Times New Roman"/>
          <w:sz w:val="24"/>
          <w:szCs w:val="24"/>
          <w:lang w:eastAsia="it-IT"/>
        </w:rPr>
        <w:t>a del naso.</w:t>
      </w:r>
      <w:bookmarkEnd w:id="0"/>
    </w:p>
    <w:p w14:paraId="4392433F"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1" w:name="5up"/>
      <w:r w:rsidR="0046230A">
        <w:rPr>
          <w:rFonts w:ascii="Times New Roman" w:eastAsia="Times New Roman" w:hAnsi="Times New Roman" w:cs="Times New Roman"/>
          <w:sz w:val="24"/>
          <w:szCs w:val="24"/>
          <w:lang w:eastAsia="it-IT"/>
        </w:rPr>
        <w:t>estano invariate e prioritarie.</w:t>
      </w:r>
      <w:bookmarkEnd w:id="1"/>
    </w:p>
    <w:p w14:paraId="5D2AA000"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4749113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592656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2ECE7F92"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4300D410" w14:textId="77777777"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14:paraId="11D4435B" w14:textId="77777777"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14:paraId="1728AFDC" w14:textId="77777777"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14:paraId="0EEF4E70"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lastRenderedPageBreak/>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DA0C50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6BB45D8F"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01762EF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2DF5531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37814F28" w14:textId="77777777"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14:paraId="76C6808A"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14:paraId="383E2FE9"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44C0C83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32CD1C1A" w14:textId="77777777"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14:paraId="01BBE78B" w14:textId="77777777"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w:t>
      </w:r>
      <w:proofErr w:type="spellStart"/>
      <w:r w:rsidR="009C3C0D" w:rsidRPr="00CA6E27">
        <w:rPr>
          <w:rFonts w:ascii="Times New Roman" w:eastAsia="Times New Roman" w:hAnsi="Times New Roman" w:cs="Times New Roman"/>
          <w:sz w:val="24"/>
          <w:szCs w:val="24"/>
          <w:lang w:eastAsia="it-IT"/>
        </w:rPr>
        <w:t>IeFP</w:t>
      </w:r>
      <w:proofErr w:type="spellEnd"/>
      <w:r w:rsidR="009C3C0D" w:rsidRPr="00CA6E27">
        <w:rPr>
          <w:rFonts w:ascii="Times New Roman" w:eastAsia="Times New Roman" w:hAnsi="Times New Roman" w:cs="Times New Roman"/>
          <w:sz w:val="24"/>
          <w:szCs w:val="24"/>
          <w:lang w:eastAsia="it-IT"/>
        </w:rPr>
        <w:t>,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L'ente proprietario dell'immobile può autorizzare, in raccordo con le </w:t>
      </w:r>
      <w:r w:rsidR="009C3C0D" w:rsidRPr="00CA6E27">
        <w:rPr>
          <w:rFonts w:ascii="Times New Roman" w:eastAsia="Times New Roman" w:hAnsi="Times New Roman" w:cs="Times New Roman"/>
          <w:sz w:val="24"/>
          <w:szCs w:val="24"/>
          <w:lang w:eastAsia="it-IT"/>
        </w:rPr>
        <w:lastRenderedPageBreak/>
        <w:t>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0AE67A9" w14:textId="77777777"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5DCB7FA8" w14:textId="77777777"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14:paraId="62ED48E4" w14:textId="77777777"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4122C25" w14:textId="77777777"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14:paraId="08344EB4"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59BBF8E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1B48818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479DAFB8"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076B0EF9"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312A13DD" w14:textId="77777777"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w:t>
      </w:r>
      <w:r w:rsidR="00C15F11" w:rsidRPr="00BF0E05">
        <w:rPr>
          <w:rFonts w:ascii="Times New Roman" w:eastAsia="Times New Roman" w:hAnsi="Times New Roman" w:cs="Times New Roman"/>
          <w:sz w:val="24"/>
          <w:szCs w:val="24"/>
          <w:lang w:eastAsia="it-IT"/>
        </w:rPr>
        <w:lastRenderedPageBreak/>
        <w:t>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14:paraId="3648E1F9"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2511DB62"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2"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2"/>
      <w:r w:rsidR="00CD654C" w:rsidRPr="003B3E4F">
        <w:rPr>
          <w:rFonts w:ascii="Times New Roman" w:eastAsia="Times New Roman" w:hAnsi="Times New Roman" w:cs="Times New Roman"/>
          <w:sz w:val="24"/>
          <w:szCs w:val="24"/>
          <w:lang w:eastAsia="it-IT"/>
        </w:rPr>
        <w:t xml:space="preserve"> </w:t>
      </w:r>
    </w:p>
    <w:p w14:paraId="391A14D8"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389E7EEE"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33784FD9"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w:t>
      </w:r>
      <w:r w:rsidR="00CD654C" w:rsidRPr="00C82E1D">
        <w:rPr>
          <w:rFonts w:ascii="Times New Roman" w:eastAsia="Times New Roman" w:hAnsi="Times New Roman" w:cs="Times New Roman"/>
          <w:sz w:val="24"/>
          <w:szCs w:val="24"/>
        </w:rPr>
        <w:lastRenderedPageBreak/>
        <w:t>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299BF413" w14:textId="77777777"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proofErr w:type="spellStart"/>
      <w:r w:rsidR="00FA606B">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14:paraId="5EEF583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1F19061C"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1E0C33DF"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552EA15E" w14:textId="77777777"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14:paraId="78F16531" w14:textId="77777777" w:rsidR="00BD7733"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oo</w:t>
      </w:r>
      <w:proofErr w:type="spellEnd"/>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14:paraId="5FC40508" w14:textId="77777777" w:rsidR="00CD654C" w:rsidRPr="003B3E4F" w:rsidRDefault="00FA606B" w:rsidP="00625579">
      <w:pPr>
        <w:pStyle w:val="p1"/>
        <w:spacing w:afterLines="20" w:after="48" w:afterAutospacing="0"/>
        <w:ind w:firstLine="426"/>
        <w:contextualSpacing/>
        <w:jc w:val="both"/>
        <w:rPr>
          <w:rFonts w:eastAsia="Times New Roman"/>
        </w:rPr>
      </w:pPr>
      <w:r>
        <w:rPr>
          <w:rFonts w:eastAsia="Times New Roman"/>
        </w:rPr>
        <w:t>pp</w:t>
      </w:r>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01E40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29962F32"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19D69C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0EF0D91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48C5AF6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2E722E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5831D7B8"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14:paraId="0B2DA0B6"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07B2B0C"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402F6FC2"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6DF3DD0"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6D535AAF"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31CACACF"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lastRenderedPageBreak/>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4BD33BF1"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1AF771A" w14:textId="77777777"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14:paraId="4378DF29" w14:textId="77777777"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3"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14:paraId="0F160303" w14:textId="77777777"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14:paraId="5A7E4FC6"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14:paraId="3AC735EC"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3"/>
      <w:r w:rsidR="00C27B38" w:rsidRPr="00AC23B0">
        <w:rPr>
          <w:color w:val="000000"/>
          <w:sz w:val="24"/>
          <w:szCs w:val="24"/>
        </w:rPr>
        <w:t>:</w:t>
      </w:r>
    </w:p>
    <w:p w14:paraId="076C7428" w14:textId="77777777"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4"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66B0D8B4" w14:textId="77777777"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14:paraId="297657BF" w14:textId="77777777"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w:t>
      </w:r>
      <w:r w:rsidR="004770C4" w:rsidRPr="00FF3743">
        <w:rPr>
          <w:rFonts w:ascii="Times New Roman" w:hAnsi="Times New Roman" w:cs="Times New Roman"/>
          <w:sz w:val="24"/>
          <w:szCs w:val="24"/>
        </w:rPr>
        <w:lastRenderedPageBreak/>
        <w:t>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4"/>
    <w:p w14:paraId="3C10F282" w14:textId="77777777"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14:paraId="713440F0"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CAC1D9C"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1F8F58F"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6F173F2" w14:textId="77777777"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14:paraId="27F9F4A4" w14:textId="77777777"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14:paraId="3B2AF672" w14:textId="77777777"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14:paraId="7A3D3619" w14:textId="77777777"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14:paraId="19515040" w14:textId="77777777"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14:paraId="5F8061C4" w14:textId="77777777"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xml:space="preserve">, anche ricompresi nei centri commerciali, purché sia </w:t>
      </w:r>
      <w:r w:rsidRPr="00AC23B0">
        <w:rPr>
          <w:rFonts w:ascii="Times New Roman" w:hAnsi="Times New Roman" w:cs="Times New Roman"/>
          <w:sz w:val="24"/>
          <w:szCs w:val="24"/>
        </w:rPr>
        <w:lastRenderedPageBreak/>
        <w:t>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14:paraId="5B339716" w14:textId="77777777"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14:paraId="6537FCA2" w14:textId="77777777"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14:paraId="2FE3C44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FEE4B3C" w14:textId="77777777"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14:paraId="03C91C69" w14:textId="77777777"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555392ED" w14:textId="77777777"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02388371" w14:textId="77777777"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 xml:space="preserve">i datori di lavoro pubblici limitano la presenza del personale nei luoghi di lavoro per assicurare esclusivamente le attività che ritengono indifferibili e che richiedono necessariamente tale presenza, </w:t>
      </w:r>
      <w:r w:rsidR="004522FC" w:rsidRPr="009F303D">
        <w:rPr>
          <w:rFonts w:ascii="Times New Roman" w:hAnsi="Times New Roman" w:cs="Times New Roman"/>
          <w:sz w:val="24"/>
          <w:szCs w:val="24"/>
        </w:rPr>
        <w:lastRenderedPageBreak/>
        <w:t>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14:paraId="4D172465" w14:textId="77777777"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14:paraId="0BDC2631" w14:textId="77777777" w:rsidR="004770C4" w:rsidRDefault="004770C4" w:rsidP="00625579">
      <w:pPr>
        <w:spacing w:afterLines="20" w:after="48" w:line="240" w:lineRule="auto"/>
      </w:pPr>
    </w:p>
    <w:p w14:paraId="17B1D4B5"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1C39F25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6135549" w14:textId="77777777"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5EBBD59E" w14:textId="77777777"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14:paraId="66FEF13A"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5D792E50" w14:textId="77777777"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0CF290A7" w14:textId="77777777"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14:paraId="50A4051F" w14:textId="77777777"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3F6567C7" w14:textId="77777777"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14:paraId="304B1E40" w14:textId="77777777"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4CD458BD" w14:textId="77777777"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095D1C30" w14:textId="77777777"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540F0287" w14:textId="77777777"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xml:space="preserve">, nelle aree di accesso alle strutture del servizio sanitario, nonché in tutti i locali aperti al pubblico, in conformità alle disposizioni di cui alla </w:t>
      </w:r>
      <w:r w:rsidRPr="00604E71">
        <w:rPr>
          <w:sz w:val="24"/>
          <w:szCs w:val="24"/>
        </w:rPr>
        <w:lastRenderedPageBreak/>
        <w:t>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5EE0CB82" w14:textId="77777777"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0EC2B97" w14:textId="77777777"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2F51393E" w14:textId="77777777"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5A0DBCE3" w14:textId="77777777"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5C144799" w14:textId="77777777"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110BB172" w14:textId="77777777"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08A3155E" w14:textId="77777777"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3777E67" w14:textId="77777777"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4A392BA8"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0E4C97CA"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B67C600" w14:textId="77777777"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lastRenderedPageBreak/>
        <w:t xml:space="preserve">Art. </w:t>
      </w:r>
      <w:r w:rsidR="00DE6DBE" w:rsidRPr="00AC23B0">
        <w:rPr>
          <w:rFonts w:ascii="Times New Roman" w:eastAsia="Times New Roman" w:hAnsi="Times New Roman" w:cs="Times New Roman"/>
          <w:b/>
          <w:bCs/>
          <w:sz w:val="24"/>
          <w:szCs w:val="24"/>
          <w:lang w:eastAsia="it-IT"/>
        </w:rPr>
        <w:t>6</w:t>
      </w:r>
    </w:p>
    <w:p w14:paraId="4723A885"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14:paraId="3E04CAD6"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14:paraId="58E6496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14:paraId="159A260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14:paraId="55B24DF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14:paraId="34669C28"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14:paraId="5F817BA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14:paraId="0572913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14:paraId="1738A32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14:paraId="72D7B1E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14:paraId="57D2027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14:paraId="2EB4F3E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EFCF37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14:paraId="79156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14:paraId="456A5BE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14:paraId="1C546F3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14:paraId="6E3BFAC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14:paraId="0E0FB387"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14:paraId="0B670DC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14:paraId="0B89171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14:paraId="254787E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14:paraId="443470E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14:paraId="2ADBD6D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14:paraId="4ECD9AD2"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40B94447"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14:paraId="1E7D3767"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14:paraId="44C33B91"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14:paraId="10D0F8A7"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14:paraId="3BDFE36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14:paraId="1722C95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2C93FFC7" w14:textId="77777777" w:rsidR="009C1D00" w:rsidRDefault="009C1D00" w:rsidP="00625579">
      <w:pPr>
        <w:spacing w:afterLines="20" w:after="48" w:line="240" w:lineRule="auto"/>
        <w:rPr>
          <w:rFonts w:ascii="Times New Roman" w:eastAsia="Times New Roman" w:hAnsi="Times New Roman" w:cs="Times New Roman"/>
          <w:sz w:val="24"/>
          <w:szCs w:val="24"/>
          <w:lang w:eastAsia="it-IT"/>
        </w:rPr>
      </w:pPr>
    </w:p>
    <w:p w14:paraId="44C84CF6"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14:paraId="533D40C6"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14:paraId="6FEAC9BD"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14:paraId="1D4A4163" w14:textId="77777777"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14:paraId="44BB31D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14:paraId="5C737B10"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554507FA"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l'Autorità sanitaria competente per </w:t>
      </w:r>
      <w:r w:rsidRPr="00AC23B0">
        <w:rPr>
          <w:rFonts w:ascii="Times New Roman" w:eastAsia="Times New Roman" w:hAnsi="Times New Roman" w:cs="Times New Roman"/>
          <w:sz w:val="24"/>
          <w:szCs w:val="24"/>
          <w:lang w:eastAsia="it-IT"/>
        </w:rPr>
        <w:lastRenderedPageBreak/>
        <w:t>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544FE2A0"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14:paraId="17B6080B"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3D5F416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A5CB0C3"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14:paraId="20F5DFF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39EBA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4B6F9A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13782B1F"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041AFCE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14:paraId="1A65366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14:paraId="37E523B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3) il divieto di spostamenti e viaggi; </w:t>
      </w:r>
    </w:p>
    <w:p w14:paraId="6C985848"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14:paraId="2B7FA77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14:paraId="5B482385"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987945B"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14:paraId="61536E9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58C6FA6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14:paraId="648180A2"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14:paraId="5730B5A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14:paraId="02B653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14:paraId="27B8363C"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61055FD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14:paraId="263A5C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14:paraId="27FC5AF8"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14:paraId="173AB137"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14:paraId="41AD4BA5"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14:paraId="303BC96A"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 xml:space="preserve">insorgano sintomi di COVID-19 e che non ci siano stati soggiorni o transiti in uno o più Paesi di cui all'elenco F dell'allegato 20 nei quattordici giorni antecedenti all'ingresso in </w:t>
      </w:r>
      <w:r w:rsidRPr="00AC23B0">
        <w:rPr>
          <w:rFonts w:ascii="Times New Roman" w:eastAsia="Times New Roman" w:hAnsi="Times New Roman" w:cs="Times New Roman"/>
          <w:sz w:val="24"/>
          <w:szCs w:val="24"/>
          <w:lang w:eastAsia="it-IT"/>
        </w:rPr>
        <w:lastRenderedPageBreak/>
        <w:t>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00AAC47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3240FF9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0299702A"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14:paraId="5370BE5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14:paraId="27438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14:paraId="64EBDFA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14:paraId="47EFDFE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14:paraId="586DCA1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14:paraId="06EF4D32"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5713369" w14:textId="77777777"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14:paraId="02CDF81F"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14:paraId="32B480D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14:paraId="51BFD8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14:paraId="47E29FC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14:paraId="5C17EB2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1CA640C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14:paraId="310F7F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14:paraId="3A8C4231"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31D436A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541913D" w14:textId="77777777"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14:paraId="2F6DB291" w14:textId="77777777"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14:paraId="1E68439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14:paraId="20F696D5"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14:paraId="2F053715"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14:paraId="761EE1F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14:paraId="19CFA98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4EA88AEC"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32E64D8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c) la nazionalità e la provenienza dei passeggeri imbarcati nel rispetto delle previsioni di cui al precedente comma. </w:t>
      </w:r>
    </w:p>
    <w:p w14:paraId="483862E5"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3636CFE5" w14:textId="77777777"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5" w:name="17up"/>
      <w:r w:rsidR="00FC6F7A">
        <w:rPr>
          <w:rFonts w:ascii="Times New Roman" w:eastAsia="Times New Roman" w:hAnsi="Times New Roman" w:cs="Times New Roman"/>
          <w:sz w:val="24"/>
          <w:szCs w:val="24"/>
          <w:lang w:eastAsia="it-IT"/>
        </w:rPr>
        <w:t>re di prevenzione dal contagio.</w:t>
      </w:r>
      <w:bookmarkEnd w:id="5"/>
    </w:p>
    <w:p w14:paraId="6FD262D3" w14:textId="77777777"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14:paraId="7526224C"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52FEC24E"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12711E8E" w14:textId="77777777"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18ADD680" w14:textId="77777777"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00AA6B8"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3AABFDB"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88EF453" w14:textId="77777777"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3F3FDDBB"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lastRenderedPageBreak/>
        <w:t xml:space="preserve">Art. </w:t>
      </w:r>
      <w:r w:rsidR="00DE6DBE">
        <w:rPr>
          <w:rFonts w:ascii="Times New Roman" w:eastAsia="Times New Roman" w:hAnsi="Times New Roman" w:cs="Times New Roman"/>
          <w:b/>
          <w:bCs/>
          <w:sz w:val="24"/>
          <w:szCs w:val="24"/>
          <w:lang w:eastAsia="it-IT"/>
        </w:rPr>
        <w:t>12</w:t>
      </w:r>
    </w:p>
    <w:p w14:paraId="102A3703"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3E8D2D0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905558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CB03DF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40471A75"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02CEC49D" w14:textId="77777777"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515960CC" w14:textId="77777777"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6CE360E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14:paraId="6A0A6DBD"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14:paraId="2D20DF6D" w14:textId="77777777"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B4730F">
        <w:rPr>
          <w:rFonts w:ascii="Times New Roman" w:eastAsia="Times New Roman" w:hAnsi="Times New Roman" w:cs="Times New Roman"/>
          <w:sz w:val="24"/>
          <w:szCs w:val="24"/>
          <w:lang w:eastAsia="it-IT"/>
        </w:rPr>
        <w:t>6</w:t>
      </w:r>
      <w:r w:rsidR="002F41DD">
        <w:rPr>
          <w:rFonts w:ascii="Times New Roman" w:eastAsia="Times New Roman" w:hAnsi="Times New Roman" w:cs="Times New Roman"/>
          <w:sz w:val="24"/>
          <w:szCs w:val="24"/>
          <w:lang w:eastAsia="it-IT"/>
        </w:rPr>
        <w:t xml:space="preserve">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14:paraId="6128246C" w14:textId="77777777"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14:paraId="5C0A3C8B" w14:textId="77777777" w:rsidR="00592D8E" w:rsidRDefault="00592D8E" w:rsidP="00625579">
      <w:pPr>
        <w:pStyle w:val="Paragrafoelenco"/>
        <w:tabs>
          <w:tab w:val="left" w:pos="396"/>
        </w:tabs>
        <w:spacing w:afterLines="20" w:after="48"/>
        <w:ind w:left="369" w:right="-1" w:firstLine="0"/>
        <w:rPr>
          <w:sz w:val="24"/>
          <w:szCs w:val="24"/>
        </w:rPr>
      </w:pPr>
    </w:p>
    <w:p w14:paraId="0FC17D43" w14:textId="77777777" w:rsidR="000B2F51" w:rsidRDefault="000B2F51" w:rsidP="00625579">
      <w:pPr>
        <w:pStyle w:val="Paragrafoelenco"/>
        <w:tabs>
          <w:tab w:val="left" w:pos="396"/>
        </w:tabs>
        <w:spacing w:afterLines="20" w:after="48"/>
        <w:ind w:left="369" w:right="-1" w:firstLine="0"/>
        <w:rPr>
          <w:sz w:val="24"/>
          <w:szCs w:val="24"/>
        </w:rPr>
      </w:pPr>
    </w:p>
    <w:p w14:paraId="0CEF21E0"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14:paraId="4CF33A22"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2A0A0730"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C2984C" w14:textId="77777777" w:rsidR="00CE0D9F" w:rsidRDefault="00CE0D9F" w:rsidP="00625579">
      <w:pPr>
        <w:pStyle w:val="Paragrafoelenco"/>
        <w:tabs>
          <w:tab w:val="left" w:pos="396"/>
        </w:tabs>
        <w:spacing w:afterLines="20" w:after="48"/>
        <w:ind w:left="369" w:right="-1" w:firstLine="0"/>
        <w:rPr>
          <w:sz w:val="24"/>
          <w:szCs w:val="24"/>
        </w:rPr>
      </w:pPr>
    </w:p>
    <w:p w14:paraId="0D598FFA" w14:textId="77777777"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2560" w14:textId="77777777" w:rsidR="006803C3" w:rsidRDefault="006803C3" w:rsidP="00957EEC">
      <w:pPr>
        <w:spacing w:after="0" w:line="240" w:lineRule="auto"/>
      </w:pPr>
      <w:r>
        <w:separator/>
      </w:r>
    </w:p>
  </w:endnote>
  <w:endnote w:type="continuationSeparator" w:id="0">
    <w:p w14:paraId="11BF2CF0" w14:textId="77777777" w:rsidR="006803C3" w:rsidRDefault="006803C3"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990A" w14:textId="77777777" w:rsidR="006803C3" w:rsidRDefault="006803C3" w:rsidP="00957EEC">
      <w:pPr>
        <w:spacing w:after="0" w:line="240" w:lineRule="auto"/>
      </w:pPr>
      <w:r>
        <w:separator/>
      </w:r>
    </w:p>
  </w:footnote>
  <w:footnote w:type="continuationSeparator" w:id="0">
    <w:p w14:paraId="32596293" w14:textId="77777777" w:rsidR="006803C3" w:rsidRDefault="006803C3"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7705A"/>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44F3"/>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803C3"/>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2C2E"/>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4730F"/>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2756"/>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61"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5D93-7CC3-4F46-8898-CC03366C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2020-11-05T15:24:00Z</dcterms:created>
  <dcterms:modified xsi:type="dcterms:W3CDTF">2020-11-05T15:24:00Z</dcterms:modified>
</cp:coreProperties>
</file>